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I.  Title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(Name of the Activity)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 Rationale / Background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(What and why of the training; identified knowledge, skills and attitude gaps of employees which the training activity can fill; what are the prevailing demands and requirements form the organization which the activity can provide.)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  Course Description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(Brief overview of the activity, what it is all about, purpose, knowledge and skills to be learned and the strategies / methodologies used)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IV.  Learning Objectives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Terminal Objective: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the end of the workshop / seminar: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(What the learner will be able to do after the activity; focus is on the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performance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the learner after the training; Use the verbs in Bloom’s taxonomy).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Enabling Objectives: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(Breakdown of terminal objectives into manageable objectives or learning chunks; “enables” the achievement of terminal objectives).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Session Objectives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Optional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maybe placed in the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DTAP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); [Further breakdown of enabling objectives into smaller / bite size learning units; describes what learners will be able to do right after a learning session; directly corresponds to the detailed training action plan (DTAP)].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Workplace Application Objective (for individual LAP of each pax):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(States how the learner will apply the learning in the workplace after training).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Results Objectives: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(States how the improved performance of the learner as a result of the training will have a long – term impact or effect on the performance of the office)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V.  Expected Outputs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(Defines what the learner will produce (if any) during and after the workshop)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VI.  Strategies / Methodology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(Defines the different approaches and techniques to be used in the learning design)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VII.  Evaluation: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(Defines the assessment strategies and tools (level 1, level 2 or pre – test / post – test, etc.) used to measure the objectives of the learning intervention.)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VIII. Operational Details</w:t>
      </w:r>
    </w:p>
    <w:tbl>
      <w:tblPr>
        <w:tblStyle w:val="Table1"/>
        <w:tblW w:w="100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79"/>
        <w:gridCol w:w="6299"/>
        <w:tblGridChange w:id="0">
          <w:tblGrid>
            <w:gridCol w:w="3779"/>
            <w:gridCol w:w="6299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Venue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Number and Category of Participants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Facilitators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Resource Persons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Support Staff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Proposed Budget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Fund Source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</w:rPr>
        <w:sectPr>
          <w:headerReference r:id="rId7" w:type="default"/>
          <w:pgSz w:h="16839" w:w="11907" w:orient="portrait"/>
          <w:pgMar w:bottom="720" w:top="720" w:left="720" w:right="720" w:header="432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02"/>
        <w:gridCol w:w="1805"/>
        <w:gridCol w:w="1892"/>
        <w:gridCol w:w="3863"/>
        <w:gridCol w:w="1793"/>
        <w:gridCol w:w="2030"/>
        <w:gridCol w:w="1471"/>
        <w:tblGridChange w:id="0">
          <w:tblGrid>
            <w:gridCol w:w="1402"/>
            <w:gridCol w:w="1805"/>
            <w:gridCol w:w="1892"/>
            <w:gridCol w:w="3863"/>
            <w:gridCol w:w="1793"/>
            <w:gridCol w:w="2030"/>
            <w:gridCol w:w="1471"/>
          </w:tblGrid>
        </w:tblGridChange>
      </w:tblGrid>
      <w:tr>
        <w:trPr>
          <w:cantSplit w:val="0"/>
          <w:trHeight w:val="12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DAY / 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LEARNING OBJECTIVES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 the end of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session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participant will be able 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TOPIC / CONTENT HIGHLIGHTS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TEACHING / LEARNING METHODOLOGY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RESPONSIBLE PERSON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RESOURCES / SUPPORT NEEDED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EXPECTED OUTPUTS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gridSpan w:val="7"/>
            <w:shd w:fill="b8cce4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Day 1 – AM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7"/>
            <w:shd w:fill="b8cce4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Day 1 – PM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Prepared by:</w:t>
      </w:r>
    </w:p>
    <w:p w:rsidR="00000000" w:rsidDel="00000000" w:rsidP="00000000" w:rsidRDefault="00000000" w:rsidRPr="00000000" w14:paraId="0000004A">
      <w:pPr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Approved by:</w:t>
      </w:r>
    </w:p>
    <w:p w:rsidR="00000000" w:rsidDel="00000000" w:rsidP="00000000" w:rsidRDefault="00000000" w:rsidRPr="00000000" w14:paraId="0000004C">
      <w:pPr>
        <w:spacing w:after="0" w:line="240" w:lineRule="auto"/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4D">
      <w:pPr>
        <w:spacing w:after="0" w:line="240" w:lineRule="auto"/>
        <w:ind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Chief of Section / Office</w:t>
      </w:r>
    </w:p>
    <w:sectPr>
      <w:headerReference r:id="rId8" w:type="default"/>
      <w:type w:val="nextPage"/>
      <w:pgSz w:h="11907" w:w="16839" w:orient="landscape"/>
      <w:pgMar w:bottom="720" w:top="720" w:left="720" w:right="720" w:header="432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646545" cy="695960"/>
          <wp:effectExtent b="0" l="0" r="0" t="0"/>
          <wp:docPr id="185601036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6545" cy="6959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312420</wp:posOffset>
          </wp:positionH>
          <wp:positionV relativeFrom="paragraph">
            <wp:posOffset>-85724</wp:posOffset>
          </wp:positionV>
          <wp:extent cx="9153525" cy="958044"/>
          <wp:effectExtent b="0" l="0" r="0" t="0"/>
          <wp:wrapNone/>
          <wp:docPr id="185601036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53525" cy="95804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EF0B4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C123E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9781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97815"/>
  </w:style>
  <w:style w:type="paragraph" w:styleId="Footer">
    <w:name w:val="footer"/>
    <w:basedOn w:val="Normal"/>
    <w:link w:val="FooterChar"/>
    <w:uiPriority w:val="99"/>
    <w:unhideWhenUsed w:val="1"/>
    <w:rsid w:val="0039781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97815"/>
  </w:style>
  <w:style w:type="paragraph" w:styleId="NoSpacing">
    <w:name w:val="No Spacing"/>
    <w:uiPriority w:val="1"/>
    <w:qFormat w:val="1"/>
    <w:rsid w:val="00EF0C83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jvnk3DerkD/sVjXuT3F+JgnJ5Q==">CgMxLjA4AHIhMTQ2ZzE1cTJqSDhnQ05rTzhmaWR6UTJNS1dxTWREMHh1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2024-05-31T05:17:00Z</dcterms:created>
  <dc:creator>NCMH-12</dc:creator>
</cp:coreProperties>
</file>